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C3C" w:rsidRPr="00051C80" w:rsidRDefault="00FA3634" w:rsidP="00AA1862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051C80">
        <w:rPr>
          <w:rFonts w:ascii="Arial" w:eastAsia="Times New Roman" w:hAnsi="Arial" w:cs="Arial"/>
          <w:b/>
          <w:sz w:val="40"/>
          <w:szCs w:val="40"/>
          <w:lang w:eastAsia="es-ES"/>
        </w:rPr>
        <w:t>7</w:t>
      </w:r>
    </w:p>
    <w:p w:rsidR="00636595" w:rsidRPr="00051C80" w:rsidRDefault="005D7503" w:rsidP="00AA1862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>CONDICIONS ESPECIALS</w:t>
      </w:r>
      <w:r w:rsidR="001A364D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I </w:t>
      </w:r>
      <w:r w:rsidR="003A483C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CLÀUSULES </w:t>
      </w:r>
      <w:r w:rsidR="00A7433A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>E</w:t>
      </w:r>
      <w:r w:rsidR="001A364D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>SSENCIALS</w:t>
      </w:r>
      <w:r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D’EXECUCIÓ</w:t>
      </w:r>
      <w:r w:rsidR="00136628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</w:t>
      </w:r>
    </w:p>
    <w:p w:rsidR="00121415" w:rsidRPr="00051C80" w:rsidRDefault="00121415" w:rsidP="00AA1862">
      <w:pPr>
        <w:spacing w:line="240" w:lineRule="auto"/>
        <w:rPr>
          <w:rFonts w:ascii="Arial" w:hAnsi="Arial" w:cs="Arial"/>
        </w:rPr>
      </w:pPr>
      <w:r w:rsidRPr="00051C80">
        <w:rPr>
          <w:rFonts w:ascii="Arial" w:hAnsi="Arial" w:cs="Arial"/>
        </w:rPr>
        <w:br w:type="page"/>
      </w:r>
    </w:p>
    <w:p w:rsidR="00121415" w:rsidRPr="00051C80" w:rsidRDefault="00121415" w:rsidP="00AA1862">
      <w:pPr>
        <w:spacing w:line="240" w:lineRule="auto"/>
        <w:rPr>
          <w:rFonts w:ascii="Arial" w:hAnsi="Arial" w:cs="Arial"/>
          <w:b/>
        </w:rPr>
      </w:pPr>
      <w:r w:rsidRPr="00051C80">
        <w:rPr>
          <w:rFonts w:ascii="Arial" w:hAnsi="Arial" w:cs="Arial"/>
          <w:b/>
        </w:rPr>
        <w:lastRenderedPageBreak/>
        <w:t>Obligacions generals considerades condicions especials i essencials d’execució</w:t>
      </w:r>
    </w:p>
    <w:p w:rsidR="00121415" w:rsidRPr="00051C80" w:rsidRDefault="00121415" w:rsidP="00AA1862">
      <w:pPr>
        <w:pStyle w:val="Pargrafdellista"/>
        <w:spacing w:line="240" w:lineRule="auto"/>
        <w:ind w:left="0"/>
        <w:jc w:val="both"/>
        <w:rPr>
          <w:rFonts w:ascii="Arial" w:hAnsi="Arial" w:cs="Arial"/>
        </w:rPr>
      </w:pPr>
    </w:p>
    <w:p w:rsidR="00A0126C" w:rsidRPr="00A0126C" w:rsidRDefault="00A0126C" w:rsidP="00A0126C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A0126C">
        <w:rPr>
          <w:rFonts w:ascii="Arial" w:hAnsi="Arial" w:cs="Arial"/>
        </w:rPr>
        <w:t>El contracte s’ha d’executar amb subjecció al que estableixen les clàusules</w:t>
      </w:r>
      <w:r>
        <w:rPr>
          <w:rFonts w:ascii="Arial" w:hAnsi="Arial" w:cs="Arial"/>
        </w:rPr>
        <w:t xml:space="preserve"> del contracte</w:t>
      </w:r>
      <w:r w:rsidRPr="00A0126C">
        <w:rPr>
          <w:rFonts w:ascii="Arial" w:hAnsi="Arial" w:cs="Arial"/>
        </w:rPr>
        <w:t xml:space="preserve"> i </w:t>
      </w:r>
      <w:r>
        <w:rPr>
          <w:rFonts w:ascii="Arial" w:hAnsi="Arial" w:cs="Arial"/>
        </w:rPr>
        <w:t>d</w:t>
      </w:r>
      <w:r w:rsidRPr="00A0126C">
        <w:rPr>
          <w:rFonts w:ascii="Arial" w:hAnsi="Arial" w:cs="Arial"/>
        </w:rPr>
        <w:t>els plecs, i d’acord amb les instruccions que el responsable del contracte doni al contractista per a la interpretació corresponent.</w:t>
      </w:r>
    </w:p>
    <w:p w:rsidR="00121415" w:rsidRPr="00051C80" w:rsidRDefault="00A0126C" w:rsidP="00A0126C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A0126C">
        <w:rPr>
          <w:rFonts w:ascii="Arial" w:hAnsi="Arial" w:cs="Arial"/>
        </w:rPr>
        <w:t>El contractista és responsable de la qualitat tècnica dels treballs que dugui a terme i de les prestacions i serveis efectuats, així com de les conseqüències que es dedueixin per a l’</w:t>
      </w:r>
      <w:r>
        <w:rPr>
          <w:rFonts w:ascii="Arial" w:hAnsi="Arial" w:cs="Arial"/>
        </w:rPr>
        <w:t xml:space="preserve">ICS </w:t>
      </w:r>
      <w:r w:rsidRPr="00A0126C">
        <w:rPr>
          <w:rFonts w:ascii="Arial" w:hAnsi="Arial" w:cs="Arial"/>
        </w:rPr>
        <w:t xml:space="preserve">o per a tercers de les omissions, errors, mètodes inadequats o conclusions incorrectes en l’execució del contracte. </w:t>
      </w:r>
    </w:p>
    <w:p w:rsidR="00121415" w:rsidRPr="00051C80" w:rsidRDefault="00121415" w:rsidP="00AA1862">
      <w:pPr>
        <w:pStyle w:val="Pargrafdellista"/>
        <w:spacing w:line="240" w:lineRule="auto"/>
        <w:ind w:left="360"/>
        <w:jc w:val="both"/>
        <w:rPr>
          <w:rFonts w:ascii="Arial" w:hAnsi="Arial" w:cs="Arial"/>
        </w:rPr>
      </w:pPr>
    </w:p>
    <w:p w:rsidR="00121415" w:rsidRPr="00051C80" w:rsidRDefault="00121415" w:rsidP="00AA1862">
      <w:pPr>
        <w:pStyle w:val="Pargrafdellista"/>
        <w:numPr>
          <w:ilvl w:val="0"/>
          <w:numId w:val="6"/>
        </w:numPr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Pel que fa a les obligacions </w:t>
      </w:r>
      <w:r w:rsidRPr="00F41EC5">
        <w:rPr>
          <w:rFonts w:ascii="Arial" w:hAnsi="Arial" w:cs="Arial"/>
          <w:b/>
        </w:rPr>
        <w:t>socials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L’empresa adjudicatària haurà de complir amb les següents disposicions: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  <w:b/>
        </w:rPr>
        <w:t>Per a les empreses amb 50 treballadors o més</w:t>
      </w:r>
      <w:r w:rsidRPr="00051C80">
        <w:rPr>
          <w:rFonts w:ascii="Arial" w:hAnsi="Arial" w:cs="Arial"/>
        </w:rPr>
        <w:t xml:space="preserve"> i/o quan s’exigeixi en el conveni col·lectiu que sigui aplicable: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L'empresa adjudicatària </w:t>
      </w:r>
      <w:r w:rsidRPr="00051C80">
        <w:rPr>
          <w:rFonts w:ascii="Arial" w:hAnsi="Arial" w:cs="Arial"/>
          <w:u w:val="single"/>
        </w:rPr>
        <w:t>haurà de presentar, en el termini màxim de 30 dies des de la signatura del contracte</w:t>
      </w:r>
      <w:r w:rsidRPr="00051C80">
        <w:rPr>
          <w:rFonts w:ascii="Arial" w:hAnsi="Arial" w:cs="Arial"/>
        </w:rPr>
        <w:t>, el Pla d’igualtat de conformitat amb el capítol III de la Llei orgànica 3/2007, de 22 de març, per a la igualtat efectiva de dones i homes.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Així mateix, restarà obligada a aplicar, en realitzar la prestació objecte del contracte, mesures destinades a promoure la igualtat d’oportunitats entre dones i homes en el mercat de treball. 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Nogensmenys també restarà obligada si així s’ha establert en el conveni col·lectiu que li sigui aplicable.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  <w:b/>
        </w:rPr>
      </w:pPr>
      <w:r w:rsidRPr="00051C80">
        <w:rPr>
          <w:rFonts w:ascii="Arial" w:hAnsi="Arial" w:cs="Arial"/>
          <w:b/>
        </w:rPr>
        <w:t>Per a les empreses amb menys de 50 treballadors: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L’empresa que no estigui obligada a disposar d’un pla d’Igualtat en els termes del paràgraf anterior, </w:t>
      </w:r>
      <w:r w:rsidRPr="00051C80">
        <w:rPr>
          <w:rFonts w:ascii="Arial" w:hAnsi="Arial" w:cs="Arial"/>
          <w:u w:val="single"/>
        </w:rPr>
        <w:t>haurà de presentar en el termini màxim de 30 dies des de la signatura del contracte</w:t>
      </w:r>
      <w:r w:rsidRPr="00051C80">
        <w:rPr>
          <w:rFonts w:ascii="Arial" w:hAnsi="Arial" w:cs="Arial"/>
        </w:rPr>
        <w:t xml:space="preserve"> la proposta d’acció d’alguna de les mesures següents, mitjançant declaració responsable signada per l’apoderat signant de la oferta adjudicada: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a) Disposició de representació equilibrada de dones i homes en tots i cada un dels grups i categories professionals.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b) Mesures per a la millora de l’accés a l’ocupació i la promoció professional de les dones en els sectors, ocupacions i professions en què siguin poc presents.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c) Promoció de l’accés de les dones als òrgans de direcció per a garantir la representació equilibrada de tots dos sexes d’acord amb l’article 32 de la Llei 17/2015, del 21 de juliol, d'igualtat efectiva de dones i homes.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d) Implantació les garanties corresponents per a aplicar criteris igualitaris de retribució de dones i homes, i també l’adequada valoració de llocs de treball tenint en compte la perspectiva de gènere.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e) Adopció de mesures per a implantar formes flexibles i horaris racionals d’organització del temps de treball, que facin possible la coresponsabilitat de dones i homes en el treball domèstic i de cura de persones i que permetin de conciliar la vida personal i laboral.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f) Adopció de mesures contra l’assetjament sexual i l’assetjament per raó de sexe, incloent-hi les accions preventives i sancionadores i l’elaboració d’un protocol de prevenció.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g) Protocol d’ús de llenguatges inclusius no sexistes ni androcèntrics i publicitat no sexista en la comunicació interna, els productes, els serveis i el màrqueting de l’empresa.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i) Actuacions relatives a la responsabilitat social corporativa destinades a promoure condicions d’igualtat de dones i homes en el si de l’empresa.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j) Establiment de permisos de paternitat, de caràcter individual i intransferible, de quatre setmanes consecutives des del finiment del permís de maternitat, afegit al permís que estableix la legislació vigent.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k) Promoció de polítiques efectives de flexibilitat empresarial.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En cas que l’empresa adjudicatària disposi del distintiu d’excel·lència empresarial en matèria d’igualtat efectiva de dones i homes en el treball, d’acord amb el que estableix l’article 50 de la Llei orgànica 3/2007, de 22 de març, per a la igualtat efectiva de dones i homes i l’article 10 Llei 17/2015, del 21 de juliol, d'igualtat efectiva de dones i homes, </w:t>
      </w:r>
      <w:r w:rsidRPr="00051C80">
        <w:rPr>
          <w:rFonts w:ascii="Arial" w:hAnsi="Arial" w:cs="Arial"/>
          <w:u w:val="single"/>
        </w:rPr>
        <w:t>haurà de presentar aquest distintiu en el termini màxim de 30 dies des de la signatura del contracte i haurà de mantenir, durant la vigència del contracte, totes les accions que l’empresa ha plantejat per a que li sigui concedit el distintiu</w:t>
      </w:r>
      <w:r w:rsidRPr="00051C80">
        <w:rPr>
          <w:rFonts w:ascii="Arial" w:hAnsi="Arial" w:cs="Arial"/>
        </w:rPr>
        <w:t xml:space="preserve">. 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  <w:u w:val="single"/>
        </w:rPr>
      </w:pPr>
      <w:r w:rsidRPr="00051C80">
        <w:rPr>
          <w:rFonts w:ascii="Arial" w:hAnsi="Arial" w:cs="Arial"/>
          <w:u w:val="single"/>
        </w:rPr>
        <w:t>Aspectes generals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Aquestes condicions especials d’execució s’han d’entendre vinculades a l’objecte contractual en relació a les persones que gestionin el contracte, ja siguin administratius, tècnics o qualsevol altre professional amb qui l’ICS, els seus centres territorials o el seu operador logístic hagi de tenir relació en l’execució del contracte. </w:t>
      </w:r>
    </w:p>
    <w:p w:rsidR="00121415" w:rsidRPr="00051C80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L’òrgan de contractació podrà sol·licitar, en qualsevol moment durant l’execució del contracte, informació i documentació en relació a aquestes condicions especials del contracte.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  <w:u w:val="single"/>
        </w:rPr>
      </w:pPr>
      <w:r w:rsidRPr="00051C80">
        <w:rPr>
          <w:rFonts w:ascii="Arial" w:hAnsi="Arial" w:cs="Arial"/>
          <w:u w:val="single"/>
        </w:rPr>
        <w:t>Consideracions a tenir en compte, en aplicació del Reial Decret Legislatiu 6/2019:</w:t>
      </w:r>
    </w:p>
    <w:p w:rsidR="00121415" w:rsidRPr="00051C80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Les empreses de més de 150 persones treballadores i fins a 250 persones treballadores comptaran amb un període per a l'aprovació dels plans d'igualtat fins el 7 de març de 2020.</w:t>
      </w:r>
    </w:p>
    <w:p w:rsidR="00121415" w:rsidRPr="00051C80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Les empreses de més de 100 i fins a 150 persones treballadores, comptaran amb un període per a l'aprovació dels plans d'igualtat fins el 7 de març de 2021.</w:t>
      </w:r>
    </w:p>
    <w:p w:rsidR="00121415" w:rsidRPr="00051C80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Les empreses de 50 a 100 persones treballadores comptaran amb un període per a l'aprovació dels plans d'igualtat fins el 7 de març de 2022.</w:t>
      </w:r>
    </w:p>
    <w:p w:rsidR="00121415" w:rsidRPr="00051C80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</w:p>
    <w:p w:rsidR="00121415" w:rsidRPr="00051C80" w:rsidRDefault="00121415" w:rsidP="00AA1862">
      <w:pPr>
        <w:pStyle w:val="Pargrafdellista"/>
        <w:numPr>
          <w:ilvl w:val="0"/>
          <w:numId w:val="6"/>
        </w:numPr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Pel que fa a consideracions </w:t>
      </w:r>
      <w:r w:rsidRPr="00F41EC5">
        <w:rPr>
          <w:rFonts w:ascii="Arial" w:hAnsi="Arial" w:cs="Arial"/>
          <w:b/>
        </w:rPr>
        <w:t>d’ètica</w:t>
      </w:r>
      <w:r w:rsidRPr="00051C80">
        <w:rPr>
          <w:rFonts w:ascii="Arial" w:hAnsi="Arial" w:cs="Arial"/>
        </w:rPr>
        <w:t xml:space="preserve"> en la contractació</w:t>
      </w:r>
    </w:p>
    <w:p w:rsidR="00121415" w:rsidRPr="00051C80" w:rsidRDefault="00121415" w:rsidP="00AA1862">
      <w:pPr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L’empresa adjudicatària assumeix les obligacions següents: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a) Observar els principis, les normes i els cànons ètics propis de les activitats, els oficis i/o les professions corresponents a les prestacions objecte dels contractes.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b) No realitzar accions que posin en risc l’interès públic en l’àmbit del contracte o de les prestacions.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c) Denunciar les situacions irregulars que es puguin presentar en els processos de contractació pública o durant l’execució dels contractes.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d) Abstenir-se de realitzar conductes que tinguin per objecte o puguin produir l’efecte d’impedir, restringir o falsejar la competència com per exemple els comportaments col·lusoris o de competència fraudulenta (ofertes de resguard, eliminació d’ofertes, assignació de mercats, rotació d’ofertes, etc.).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e) Declarar si té alguna situació de possible conflicte d’interès, als efectes del que disposa l’article 64 de la LCSP, o relació equivalent al respecte amb parts interessades en el projecte. Si durant l’execució del contracte es produís una situació d’aquestes característiques el contractista o subcontractista està obligat a posar-ho en coneixement de l’òrgan de contractació.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f) Respectar els acords i les normes de confidencialitat.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g) Col·laborar amb l’òrgan de contractació en les actuacions que aquest realitzi per al seguiment i/o l’avaluació del compliment del contracte, particularment facilitant la informació que li sigui sol·licitada per a aquestes finalitats i que la legislació de transparència i la normativa de contractes del sector públic imposen als contractistes en relació amb l’administració o administracions de referència, sens perjudici del compliment de les obligacions de transparència que els pertoquin de forma directa per previsió legal. </w:t>
      </w:r>
    </w:p>
    <w:p w:rsidR="00121415" w:rsidRPr="00051C80" w:rsidRDefault="00121415" w:rsidP="00AA1862">
      <w:pPr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h) Els licitadors, contractistes i </w:t>
      </w:r>
      <w:proofErr w:type="spellStart"/>
      <w:r w:rsidRPr="00051C80">
        <w:rPr>
          <w:rFonts w:ascii="Arial" w:hAnsi="Arial" w:cs="Arial"/>
        </w:rPr>
        <w:t>subcontractistes</w:t>
      </w:r>
      <w:proofErr w:type="spellEnd"/>
      <w:r w:rsidRPr="00051C80">
        <w:rPr>
          <w:rFonts w:ascii="Arial" w:hAnsi="Arial" w:cs="Arial"/>
        </w:rPr>
        <w:t xml:space="preserve">, o llurs empreses filials o vinculades, es comprometen a complir rigorosament la legislació tributària, laboral i de seguretat social i, específicament, a no fer operacions financeres contràries a la normativa tributària en països que no tinguin normes sobre control de capitals i siguin considerats paradisos fiscals per la Unió Europea. </w:t>
      </w:r>
      <w:bookmarkStart w:id="0" w:name="_GoBack"/>
      <w:bookmarkEnd w:id="0"/>
    </w:p>
    <w:sectPr w:rsidR="00121415" w:rsidRPr="00051C80" w:rsidSect="00525D4E">
      <w:headerReference w:type="default" r:id="rId10"/>
      <w:footerReference w:type="default" r:id="rId11"/>
      <w:pgSz w:w="11906" w:h="16838"/>
      <w:pgMar w:top="1843" w:right="1701" w:bottom="1560" w:left="1701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35D1" w:rsidRDefault="00B835D1" w:rsidP="00C8019D">
      <w:pPr>
        <w:spacing w:after="0" w:line="240" w:lineRule="auto"/>
      </w:pPr>
      <w:r>
        <w:separator/>
      </w:r>
    </w:p>
  </w:endnote>
  <w:endnote w:type="continuationSeparator" w:id="0">
    <w:p w:rsidR="00B835D1" w:rsidRDefault="00B835D1" w:rsidP="00C80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utch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105A" w:rsidRDefault="001D105A" w:rsidP="001D105A">
    <w:pPr>
      <w:pStyle w:val="Peu"/>
      <w:jc w:val="right"/>
      <w:rPr>
        <w:rFonts w:ascii="Calibri Light" w:hAnsi="Calibri Light"/>
        <w:sz w:val="14"/>
      </w:rPr>
    </w:pPr>
  </w:p>
  <w:p w:rsidR="001D105A" w:rsidRPr="001D105A" w:rsidRDefault="00972532">
    <w:pPr>
      <w:pStyle w:val="Peu"/>
      <w:rPr>
        <w:rFonts w:ascii="Calibri Light" w:hAnsi="Calibri Light"/>
        <w:sz w:val="16"/>
      </w:rPr>
    </w:pPr>
    <w:r w:rsidRPr="00972532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-429260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35D1" w:rsidRDefault="00B835D1" w:rsidP="00C8019D">
      <w:pPr>
        <w:spacing w:after="0" w:line="240" w:lineRule="auto"/>
      </w:pPr>
      <w:r>
        <w:separator/>
      </w:r>
    </w:p>
  </w:footnote>
  <w:footnote w:type="continuationSeparator" w:id="0">
    <w:p w:rsidR="00B835D1" w:rsidRDefault="00B835D1" w:rsidP="00C801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19D" w:rsidRDefault="00C8019D">
    <w:pPr>
      <w:pStyle w:val="Capalera"/>
    </w:pPr>
    <w:r>
      <w:rPr>
        <w:noProof/>
        <w:lang w:eastAsia="ca-ES"/>
      </w:rPr>
      <w:drawing>
        <wp:inline distT="0" distB="0" distL="0" distR="0" wp14:anchorId="6B239641" wp14:editId="4F482EDA">
          <wp:extent cx="1350855" cy="268811"/>
          <wp:effectExtent l="0" t="0" r="1905" b="0"/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_corp_home_comunicacio_dd56898727ad6bda6e178f9723d1602b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0855" cy="2688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75pt;height:9.75pt" o:bullet="t">
        <v:imagedata r:id="rId1" o:title="BD15020_"/>
      </v:shape>
    </w:pict>
  </w:numPicBullet>
  <w:abstractNum w:abstractNumId="0" w15:restartNumberingAfterBreak="0">
    <w:nsid w:val="09703B41"/>
    <w:multiLevelType w:val="hybridMultilevel"/>
    <w:tmpl w:val="74882900"/>
    <w:lvl w:ilvl="0" w:tplc="F092CFE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19A4BF5"/>
    <w:multiLevelType w:val="hybridMultilevel"/>
    <w:tmpl w:val="2DF68D70"/>
    <w:lvl w:ilvl="0" w:tplc="2C6EFE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>
      <w:start w:val="1"/>
      <w:numFmt w:val="lowerLetter"/>
      <w:lvlText w:val="%2."/>
      <w:lvlJc w:val="left"/>
      <w:pPr>
        <w:ind w:left="1800" w:hanging="360"/>
      </w:pPr>
    </w:lvl>
    <w:lvl w:ilvl="2" w:tplc="0403001B">
      <w:start w:val="1"/>
      <w:numFmt w:val="lowerRoman"/>
      <w:lvlText w:val="%3."/>
      <w:lvlJc w:val="right"/>
      <w:pPr>
        <w:ind w:left="464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961366"/>
    <w:multiLevelType w:val="hybridMultilevel"/>
    <w:tmpl w:val="BE2E5E64"/>
    <w:lvl w:ilvl="0" w:tplc="F572CD2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DD7169"/>
    <w:multiLevelType w:val="hybridMultilevel"/>
    <w:tmpl w:val="52527048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2417E7"/>
    <w:multiLevelType w:val="hybridMultilevel"/>
    <w:tmpl w:val="BAD872EC"/>
    <w:lvl w:ilvl="0" w:tplc="F572CD2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7F7A7A"/>
    <w:multiLevelType w:val="hybridMultilevel"/>
    <w:tmpl w:val="EDAC631C"/>
    <w:lvl w:ilvl="0" w:tplc="F092CFE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51D6FFC"/>
    <w:multiLevelType w:val="hybridMultilevel"/>
    <w:tmpl w:val="D06AF738"/>
    <w:lvl w:ilvl="0" w:tplc="BE08E98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A17E46"/>
    <w:multiLevelType w:val="multilevel"/>
    <w:tmpl w:val="66C29FCA"/>
    <w:lvl w:ilvl="0">
      <w:start w:val="20"/>
      <w:numFmt w:val="decimal"/>
      <w:lvlText w:val="%1"/>
      <w:lvlJc w:val="left"/>
      <w:pPr>
        <w:ind w:left="221" w:hanging="481"/>
        <w:jc w:val="left"/>
      </w:pPr>
      <w:rPr>
        <w:rFonts w:hint="default"/>
        <w:lang w:val="ca-ES" w:eastAsia="en-US" w:bidi="ar-SA"/>
      </w:rPr>
    </w:lvl>
    <w:lvl w:ilvl="1">
      <w:start w:val="1"/>
      <w:numFmt w:val="decimal"/>
      <w:lvlText w:val="%1.%2"/>
      <w:lvlJc w:val="left"/>
      <w:pPr>
        <w:ind w:left="221" w:hanging="481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2"/>
        <w:szCs w:val="22"/>
        <w:lang w:val="ca-ES" w:eastAsia="en-US" w:bidi="ar-SA"/>
      </w:rPr>
    </w:lvl>
    <w:lvl w:ilvl="2">
      <w:numFmt w:val="bullet"/>
      <w:lvlText w:val="-"/>
      <w:lvlJc w:val="left"/>
      <w:pPr>
        <w:ind w:left="221" w:hanging="14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a-ES" w:eastAsia="en-US" w:bidi="ar-SA"/>
      </w:rPr>
    </w:lvl>
    <w:lvl w:ilvl="3">
      <w:numFmt w:val="bullet"/>
      <w:lvlText w:val="•"/>
      <w:lvlJc w:val="left"/>
      <w:pPr>
        <w:ind w:left="2921" w:hanging="140"/>
      </w:pPr>
      <w:rPr>
        <w:rFonts w:hint="default"/>
        <w:lang w:val="ca-ES" w:eastAsia="en-US" w:bidi="ar-SA"/>
      </w:rPr>
    </w:lvl>
    <w:lvl w:ilvl="4">
      <w:numFmt w:val="bullet"/>
      <w:lvlText w:val="•"/>
      <w:lvlJc w:val="left"/>
      <w:pPr>
        <w:ind w:left="3822" w:hanging="140"/>
      </w:pPr>
      <w:rPr>
        <w:rFonts w:hint="default"/>
        <w:lang w:val="ca-ES" w:eastAsia="en-US" w:bidi="ar-SA"/>
      </w:rPr>
    </w:lvl>
    <w:lvl w:ilvl="5">
      <w:numFmt w:val="bullet"/>
      <w:lvlText w:val="•"/>
      <w:lvlJc w:val="left"/>
      <w:pPr>
        <w:ind w:left="4723" w:hanging="140"/>
      </w:pPr>
      <w:rPr>
        <w:rFonts w:hint="default"/>
        <w:lang w:val="ca-ES" w:eastAsia="en-US" w:bidi="ar-SA"/>
      </w:rPr>
    </w:lvl>
    <w:lvl w:ilvl="6">
      <w:numFmt w:val="bullet"/>
      <w:lvlText w:val="•"/>
      <w:lvlJc w:val="left"/>
      <w:pPr>
        <w:ind w:left="5623" w:hanging="140"/>
      </w:pPr>
      <w:rPr>
        <w:rFonts w:hint="default"/>
        <w:lang w:val="ca-ES" w:eastAsia="en-US" w:bidi="ar-SA"/>
      </w:rPr>
    </w:lvl>
    <w:lvl w:ilvl="7">
      <w:numFmt w:val="bullet"/>
      <w:lvlText w:val="•"/>
      <w:lvlJc w:val="left"/>
      <w:pPr>
        <w:ind w:left="6524" w:hanging="140"/>
      </w:pPr>
      <w:rPr>
        <w:rFonts w:hint="default"/>
        <w:lang w:val="ca-ES" w:eastAsia="en-US" w:bidi="ar-SA"/>
      </w:rPr>
    </w:lvl>
    <w:lvl w:ilvl="8">
      <w:numFmt w:val="bullet"/>
      <w:lvlText w:val="•"/>
      <w:lvlJc w:val="left"/>
      <w:pPr>
        <w:ind w:left="7425" w:hanging="140"/>
      </w:pPr>
      <w:rPr>
        <w:rFonts w:hint="default"/>
        <w:lang w:val="ca-ES" w:eastAsia="en-US" w:bidi="ar-SA"/>
      </w:rPr>
    </w:lvl>
  </w:abstractNum>
  <w:abstractNum w:abstractNumId="8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A3A0BF1"/>
    <w:multiLevelType w:val="multilevel"/>
    <w:tmpl w:val="84623C3E"/>
    <w:lvl w:ilvl="0">
      <w:start w:val="1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C414E6E"/>
    <w:multiLevelType w:val="hybridMultilevel"/>
    <w:tmpl w:val="FE0A5B1A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2BC629B"/>
    <w:multiLevelType w:val="hybridMultilevel"/>
    <w:tmpl w:val="6046D5B4"/>
    <w:lvl w:ilvl="0" w:tplc="040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5AE6B89"/>
    <w:multiLevelType w:val="hybridMultilevel"/>
    <w:tmpl w:val="620CFCD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F01AF"/>
    <w:multiLevelType w:val="hybridMultilevel"/>
    <w:tmpl w:val="E75EAB90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F9E23DC"/>
    <w:multiLevelType w:val="hybridMultilevel"/>
    <w:tmpl w:val="B50C3CD6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3"/>
  </w:num>
  <w:num w:numId="3">
    <w:abstractNumId w:val="14"/>
  </w:num>
  <w:num w:numId="4">
    <w:abstractNumId w:val="1"/>
  </w:num>
  <w:num w:numId="5">
    <w:abstractNumId w:val="11"/>
  </w:num>
  <w:num w:numId="6">
    <w:abstractNumId w:val="10"/>
  </w:num>
  <w:num w:numId="7">
    <w:abstractNumId w:val="9"/>
  </w:num>
  <w:num w:numId="8">
    <w:abstractNumId w:val="6"/>
  </w:num>
  <w:num w:numId="9">
    <w:abstractNumId w:val="0"/>
  </w:num>
  <w:num w:numId="10">
    <w:abstractNumId w:val="3"/>
  </w:num>
  <w:num w:numId="11">
    <w:abstractNumId w:val="5"/>
  </w:num>
  <w:num w:numId="12">
    <w:abstractNumId w:val="12"/>
  </w:num>
  <w:num w:numId="13">
    <w:abstractNumId w:val="4"/>
  </w:num>
  <w:num w:numId="14">
    <w:abstractNumId w:val="2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C41"/>
    <w:rsid w:val="00016B81"/>
    <w:rsid w:val="00051C80"/>
    <w:rsid w:val="00065B29"/>
    <w:rsid w:val="000778BB"/>
    <w:rsid w:val="000A0672"/>
    <w:rsid w:val="000F37B8"/>
    <w:rsid w:val="00121415"/>
    <w:rsid w:val="00136628"/>
    <w:rsid w:val="00157E6B"/>
    <w:rsid w:val="00164CA1"/>
    <w:rsid w:val="001A364D"/>
    <w:rsid w:val="001A4B7B"/>
    <w:rsid w:val="001D105A"/>
    <w:rsid w:val="002573E2"/>
    <w:rsid w:val="002757A2"/>
    <w:rsid w:val="00276103"/>
    <w:rsid w:val="002A0BE3"/>
    <w:rsid w:val="002F2C25"/>
    <w:rsid w:val="00312EAE"/>
    <w:rsid w:val="00344CD3"/>
    <w:rsid w:val="00353208"/>
    <w:rsid w:val="00361A44"/>
    <w:rsid w:val="00365EE3"/>
    <w:rsid w:val="003A483C"/>
    <w:rsid w:val="003E1B5B"/>
    <w:rsid w:val="003F2D97"/>
    <w:rsid w:val="00417CA6"/>
    <w:rsid w:val="004378EB"/>
    <w:rsid w:val="00451BD4"/>
    <w:rsid w:val="004A666F"/>
    <w:rsid w:val="004A7992"/>
    <w:rsid w:val="00507B0B"/>
    <w:rsid w:val="00511280"/>
    <w:rsid w:val="005178A0"/>
    <w:rsid w:val="00525D4E"/>
    <w:rsid w:val="00566EEE"/>
    <w:rsid w:val="00575978"/>
    <w:rsid w:val="00583371"/>
    <w:rsid w:val="00593BF4"/>
    <w:rsid w:val="005C681E"/>
    <w:rsid w:val="005D7503"/>
    <w:rsid w:val="00636595"/>
    <w:rsid w:val="00662C41"/>
    <w:rsid w:val="006A5284"/>
    <w:rsid w:val="006B20EA"/>
    <w:rsid w:val="006D1DF9"/>
    <w:rsid w:val="0073606E"/>
    <w:rsid w:val="00765088"/>
    <w:rsid w:val="007704BE"/>
    <w:rsid w:val="0079512C"/>
    <w:rsid w:val="00796EB9"/>
    <w:rsid w:val="007B11AA"/>
    <w:rsid w:val="007F1B83"/>
    <w:rsid w:val="007F219B"/>
    <w:rsid w:val="00852A9E"/>
    <w:rsid w:val="0087404C"/>
    <w:rsid w:val="00913772"/>
    <w:rsid w:val="00916D1B"/>
    <w:rsid w:val="009400E8"/>
    <w:rsid w:val="00972532"/>
    <w:rsid w:val="00982CA6"/>
    <w:rsid w:val="00985375"/>
    <w:rsid w:val="009B5F33"/>
    <w:rsid w:val="009D00FA"/>
    <w:rsid w:val="009D19E1"/>
    <w:rsid w:val="009E1BEB"/>
    <w:rsid w:val="009E51DA"/>
    <w:rsid w:val="009F0E25"/>
    <w:rsid w:val="009F34E5"/>
    <w:rsid w:val="00A0126C"/>
    <w:rsid w:val="00A060D5"/>
    <w:rsid w:val="00A37D3D"/>
    <w:rsid w:val="00A7433A"/>
    <w:rsid w:val="00AA1862"/>
    <w:rsid w:val="00AD6122"/>
    <w:rsid w:val="00AF5806"/>
    <w:rsid w:val="00B020BC"/>
    <w:rsid w:val="00B22488"/>
    <w:rsid w:val="00B26CBD"/>
    <w:rsid w:val="00B27F0D"/>
    <w:rsid w:val="00B835D1"/>
    <w:rsid w:val="00BA2458"/>
    <w:rsid w:val="00BF150F"/>
    <w:rsid w:val="00C02CE6"/>
    <w:rsid w:val="00C06D68"/>
    <w:rsid w:val="00C07273"/>
    <w:rsid w:val="00C10467"/>
    <w:rsid w:val="00C35842"/>
    <w:rsid w:val="00C4087A"/>
    <w:rsid w:val="00C8019D"/>
    <w:rsid w:val="00CB4149"/>
    <w:rsid w:val="00CC6733"/>
    <w:rsid w:val="00D0398D"/>
    <w:rsid w:val="00D47498"/>
    <w:rsid w:val="00DA4E8E"/>
    <w:rsid w:val="00E21DE6"/>
    <w:rsid w:val="00E41F88"/>
    <w:rsid w:val="00E61EE4"/>
    <w:rsid w:val="00E65FE1"/>
    <w:rsid w:val="00EF6C3C"/>
    <w:rsid w:val="00F41EC5"/>
    <w:rsid w:val="00F67C1E"/>
    <w:rsid w:val="00F830C2"/>
    <w:rsid w:val="00FA3634"/>
    <w:rsid w:val="00FB376E"/>
    <w:rsid w:val="00FC4E2C"/>
    <w:rsid w:val="00FF420D"/>
    <w:rsid w:val="00FF5B6E"/>
    <w:rsid w:val="00FF7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A5345F2-40E0-493E-957A-DDA85A64C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ol2">
    <w:name w:val="heading 2"/>
    <w:basedOn w:val="Normal"/>
    <w:next w:val="Normal"/>
    <w:link w:val="Ttol2Car"/>
    <w:uiPriority w:val="99"/>
    <w:qFormat/>
    <w:rsid w:val="00662C41"/>
    <w:pPr>
      <w:keepNext/>
      <w:tabs>
        <w:tab w:val="left" w:pos="360"/>
        <w:tab w:val="left" w:pos="720"/>
        <w:tab w:val="left" w:pos="1080"/>
      </w:tabs>
      <w:spacing w:after="0" w:line="240" w:lineRule="auto"/>
      <w:jc w:val="both"/>
      <w:outlineLvl w:val="1"/>
    </w:pPr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tol5">
    <w:name w:val="heading 5"/>
    <w:basedOn w:val="Normal"/>
    <w:next w:val="Normal"/>
    <w:link w:val="Ttol5Car"/>
    <w:uiPriority w:val="9"/>
    <w:semiHidden/>
    <w:unhideWhenUsed/>
    <w:qFormat/>
    <w:rsid w:val="000F37B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2Car">
    <w:name w:val="Títol 2 Car"/>
    <w:basedOn w:val="Tipusdelletraperdefectedelpargraf"/>
    <w:link w:val="Ttol2"/>
    <w:uiPriority w:val="99"/>
    <w:rsid w:val="00662C41"/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extdecomentari">
    <w:name w:val="annotation text"/>
    <w:basedOn w:val="Normal"/>
    <w:link w:val="TextdecomentariCar"/>
    <w:rsid w:val="00662C41"/>
    <w:pPr>
      <w:spacing w:after="0" w:line="240" w:lineRule="auto"/>
      <w:jc w:val="both"/>
    </w:pPr>
    <w:rPr>
      <w:rFonts w:ascii="Dutch" w:eastAsia="Times New Roman" w:hAnsi="Dutch" w:cs="Times New Roman"/>
      <w:sz w:val="20"/>
      <w:szCs w:val="20"/>
      <w:lang w:eastAsia="es-ES"/>
    </w:rPr>
  </w:style>
  <w:style w:type="character" w:customStyle="1" w:styleId="TextdecomentariCar">
    <w:name w:val="Text de comentari Car"/>
    <w:basedOn w:val="Tipusdelletraperdefectedelpargraf"/>
    <w:link w:val="Textdecomentari"/>
    <w:rsid w:val="00662C41"/>
    <w:rPr>
      <w:rFonts w:ascii="Dutch" w:eastAsia="Times New Roman" w:hAnsi="Dutch" w:cs="Times New Roman"/>
      <w:sz w:val="20"/>
      <w:szCs w:val="20"/>
      <w:lang w:eastAsia="es-ES"/>
    </w:rPr>
  </w:style>
  <w:style w:type="character" w:styleId="Refernciadecomentari">
    <w:name w:val="annotation reference"/>
    <w:unhideWhenUsed/>
    <w:rsid w:val="00662C41"/>
    <w:rPr>
      <w:sz w:val="16"/>
      <w:szCs w:val="16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662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662C41"/>
    <w:rPr>
      <w:rFonts w:ascii="Tahoma" w:hAnsi="Tahoma" w:cs="Tahoma"/>
      <w:sz w:val="16"/>
      <w:szCs w:val="16"/>
    </w:rPr>
  </w:style>
  <w:style w:type="paragraph" w:styleId="Pargrafdellista">
    <w:name w:val="List Paragraph"/>
    <w:basedOn w:val="Normal"/>
    <w:link w:val="PargrafdellistaCar"/>
    <w:uiPriority w:val="1"/>
    <w:qFormat/>
    <w:rsid w:val="005D7503"/>
    <w:pPr>
      <w:ind w:left="720"/>
      <w:contextualSpacing/>
    </w:pPr>
  </w:style>
  <w:style w:type="paragraph" w:styleId="Capalera">
    <w:name w:val="header"/>
    <w:basedOn w:val="Normal"/>
    <w:link w:val="CapaleraCar"/>
    <w:uiPriority w:val="99"/>
    <w:unhideWhenUsed/>
    <w:rsid w:val="00C801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C8019D"/>
  </w:style>
  <w:style w:type="paragraph" w:styleId="Peu">
    <w:name w:val="footer"/>
    <w:basedOn w:val="Normal"/>
    <w:link w:val="PeuCar"/>
    <w:uiPriority w:val="99"/>
    <w:unhideWhenUsed/>
    <w:rsid w:val="00C801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C8019D"/>
  </w:style>
  <w:style w:type="paragraph" w:styleId="Sagniadetextindependent">
    <w:name w:val="Body Text Indent"/>
    <w:basedOn w:val="Normal"/>
    <w:link w:val="SagniadetextindependentCar"/>
    <w:rsid w:val="006B20EA"/>
    <w:pPr>
      <w:spacing w:after="0" w:line="240" w:lineRule="auto"/>
      <w:ind w:left="720"/>
      <w:jc w:val="both"/>
    </w:pPr>
    <w:rPr>
      <w:rFonts w:ascii="Arial" w:eastAsia="Times New Roman" w:hAnsi="Arial" w:cs="Arial"/>
      <w:sz w:val="24"/>
      <w:szCs w:val="24"/>
      <w:lang w:eastAsia="es-ES"/>
    </w:rPr>
  </w:style>
  <w:style w:type="character" w:customStyle="1" w:styleId="SagniadetextindependentCar">
    <w:name w:val="Sagnia de text independent Car"/>
    <w:basedOn w:val="Tipusdelletraperdefectedelpargraf"/>
    <w:link w:val="Sagniadetextindependent"/>
    <w:rsid w:val="006B20EA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Pa9">
    <w:name w:val="Pa9"/>
    <w:basedOn w:val="Normal"/>
    <w:next w:val="Normal"/>
    <w:uiPriority w:val="99"/>
    <w:rsid w:val="009E51DA"/>
    <w:pPr>
      <w:autoSpaceDE w:val="0"/>
      <w:autoSpaceDN w:val="0"/>
      <w:adjustRightInd w:val="0"/>
      <w:spacing w:after="0" w:line="201" w:lineRule="atLeast"/>
    </w:pPr>
    <w:rPr>
      <w:rFonts w:ascii="Arial" w:hAnsi="Arial" w:cs="Arial"/>
      <w:sz w:val="24"/>
      <w:szCs w:val="24"/>
    </w:rPr>
  </w:style>
  <w:style w:type="character" w:customStyle="1" w:styleId="PargrafdellistaCar">
    <w:name w:val="Paràgraf de llista Car"/>
    <w:link w:val="Pargrafdellista"/>
    <w:uiPriority w:val="34"/>
    <w:locked/>
    <w:rsid w:val="00AD6122"/>
  </w:style>
  <w:style w:type="character" w:styleId="Textdelcontenidor">
    <w:name w:val="Placeholder Text"/>
    <w:basedOn w:val="Tipusdelletraperdefectedelpargraf"/>
    <w:uiPriority w:val="99"/>
    <w:semiHidden/>
    <w:rsid w:val="001D105A"/>
    <w:rPr>
      <w:color w:val="808080"/>
    </w:rPr>
  </w:style>
  <w:style w:type="character" w:customStyle="1" w:styleId="Ttol5Car">
    <w:name w:val="Títol 5 Car"/>
    <w:basedOn w:val="Tipusdelletraperdefectedelpargraf"/>
    <w:link w:val="Ttol5"/>
    <w:uiPriority w:val="9"/>
    <w:semiHidden/>
    <w:rsid w:val="000F37B8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Enlla">
    <w:name w:val="Hyperlink"/>
    <w:basedOn w:val="Tipusdelletraperdefectedelpargraf"/>
    <w:uiPriority w:val="99"/>
    <w:unhideWhenUsed/>
    <w:rsid w:val="009D19E1"/>
    <w:rPr>
      <w:color w:val="0000FF" w:themeColor="hyperlink"/>
      <w:u w:val="single"/>
    </w:rPr>
  </w:style>
  <w:style w:type="paragraph" w:customStyle="1" w:styleId="Default">
    <w:name w:val="Default"/>
    <w:rsid w:val="003F2D9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independent">
    <w:name w:val="Body Text"/>
    <w:basedOn w:val="Normal"/>
    <w:link w:val="TextindependentCar"/>
    <w:uiPriority w:val="99"/>
    <w:semiHidden/>
    <w:unhideWhenUsed/>
    <w:rsid w:val="00AA1862"/>
    <w:pPr>
      <w:spacing w:after="120"/>
    </w:pPr>
  </w:style>
  <w:style w:type="character" w:customStyle="1" w:styleId="TextindependentCar">
    <w:name w:val="Text independent Car"/>
    <w:basedOn w:val="Tipusdelletraperdefectedelpargraf"/>
    <w:link w:val="Textindependent"/>
    <w:uiPriority w:val="99"/>
    <w:semiHidden/>
    <w:rsid w:val="00AA18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4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8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1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2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2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0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5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9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6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0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7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6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2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2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0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4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3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5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54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3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1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04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0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5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1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3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0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6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2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4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6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1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1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4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0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7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9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4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9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3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1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9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4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4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3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2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72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5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9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8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6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8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6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9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5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0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9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95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8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7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5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8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1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1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0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9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73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1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1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3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0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4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8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7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9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9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8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9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9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1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3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8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7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6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3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8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5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4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4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56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7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1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6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3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B4A549-D570-48D4-967C-A11539A5D2D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AAC2AD8-603A-4654-9F47-2709CA4A15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223ED2-5403-47B9-A540-079A796707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1116</Words>
  <Characters>6365</Characters>
  <Application>Microsoft Office Word</Application>
  <DocSecurity>0</DocSecurity>
  <Lines>53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Annex 8 Condicions i clàusules especials i essencials</vt:lpstr>
      <vt:lpstr>Annex 8 Condicions i clàusules especials i essencials</vt:lpstr>
    </vt:vector>
  </TitlesOfParts>
  <Company>ICS</Company>
  <LinksUpToDate>false</LinksUpToDate>
  <CharactersWithSpaces>7467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8 Condicions i clàusules especials i essencials</dc:title>
  <dc:creator>Sonia Navarro Rey</dc:creator>
  <cp:lastModifiedBy>Merida Campos, Juan alfonso</cp:lastModifiedBy>
  <cp:revision>5</cp:revision>
  <cp:lastPrinted>2023-03-13T13:12:00Z</cp:lastPrinted>
  <dcterms:created xsi:type="dcterms:W3CDTF">2023-07-19T12:21:00Z</dcterms:created>
  <dcterms:modified xsi:type="dcterms:W3CDTF">2025-04-16T11:44:00Z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